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Override ContentType="application/vnd.openxmlformats-officedocument.wordprocessingml.footer+xml" PartName="/word/footer2.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none" w:color="FFFFFF" w:sz="0"/>
              <w:left w:val="none" w:color="FFFFFF" w:sz="0"/>
              <w:bottom w:val="none" w:color="FFFFFF" w:sz="0"/>
              <w:right w:val="none" w:color="FFFFFF" w:sz="0"/>
            </w:tcBorders>
            <w:shd w:fill="16362E" w:color="auto" w:val="clear"/>
            <w:tcMar>
              <w:top w:type="dxa" w:w="120"/>
              <w:left w:type="dxa" w:w="200"/>
              <w:bottom w:type="dxa" w:w="80"/>
              <w:right w:type="dxa" w:w="160"/>
            </w:tcMar>
          </w:tcPr>
          <w:p>
            <w:pPr>
              <w:spacing w:after="40"/>
            </w:pPr>
            <w:r>
              <w:rPr>
                <w:rFonts w:ascii="Arial" w:cs="Arial" w:eastAsia="Arial" w:hAnsi="Arial"/>
                <w:b/>
                <w:bCs/>
                <w:color w:val="FFFFFF"/>
                <w:sz w:val="40"/>
                <w:szCs w:val="40"/>
              </w:rPr>
              <w:t xml:space="preserve">Landlord 1099 Checklist</w:t>
            </w:r>
          </w:p>
          <w:p>
            <w:pPr>
              <w:spacing w:after="60"/>
            </w:pPr>
            <w:r>
              <w:rPr>
                <w:rFonts w:ascii="Arial" w:cs="Arial" w:eastAsia="Arial" w:hAnsi="Arial"/>
                <w:color w:val="FFFFFF"/>
                <w:sz w:val="18"/>
                <w:szCs w:val="18"/>
              </w:rPr>
              <w:t xml:space="preserve">For payments made in 2026 (forms filed in early 2027)</w:t>
            </w:r>
          </w:p>
        </w:tc>
      </w:tr>
    </w:tbl>
    <w:p>
      <w:pPr>
        <w:spacing w:after="80"/>
      </w:pPr>
    </w:p>
    <w:tbl>
      <w:tblPr>
        <w:tblW w:type="dxa" w:w="9360"/>
        <w:tblBorders>
          <w:top w:val="none" w:color="FFFFFF" w:sz="0"/>
          <w:left w:val="none" w:color="FFFFFF" w:sz="0"/>
          <w:bottom w:val="none" w:color="FFFFFF" w:sz="0"/>
          <w:right w:val="none" w:color="FFFFFF" w:sz="0"/>
          <w:insideH w:val="none" w:color="FFFFFF" w:sz="0"/>
          <w:insideV w:val="none" w:color="FFFFFF" w:sz="0"/>
        </w:tblBorders>
      </w:tblPr>
      <w:tblGrid>
        <w:gridCol w:w="2340"/>
        <w:gridCol w:w="7020"/>
      </w:tblGrid>
      <w:tr>
        <w:trPr>
          <w:cantSplit/>
        </w:trPr>
        <w:tc>
          <w:tcPr>
            <w:tcW w:type="dxa" w:w="2340"/>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TAX YEAR</w:t>
            </w:r>
          </w:p>
          <w:p>
            <w:pPr>
              <w:spacing w:after="0"/>
            </w:pPr>
            <w:r>
              <w:rPr>
                <w:rFonts w:ascii="Arial" w:cs="Arial" w:eastAsia="Arial" w:hAnsi="Arial"/>
                <w:color w:val="0F7A55"/>
                <w:sz w:val="20"/>
                <w:szCs w:val="20"/>
              </w:rPr>
              <w:t xml:space="preserve">[Tax year]</w:t>
            </w:r>
          </w:p>
        </w:tc>
        <w:tc>
          <w:tcPr>
            <w:tcW w:type="dxa" w:w="7020"/>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LANDLORD NAME</w:t>
            </w:r>
          </w:p>
          <w:p>
            <w:pPr>
              <w:spacing w:after="0"/>
            </w:pPr>
            <w:r>
              <w:rPr>
                <w:rFonts w:ascii="Arial" w:cs="Arial" w:eastAsia="Arial" w:hAnsi="Arial"/>
                <w:color w:val="0F7A55"/>
                <w:sz w:val="20"/>
                <w:szCs w:val="20"/>
              </w:rPr>
              <w:t xml:space="preserve">[Landlord name]</w:t>
            </w:r>
          </w:p>
        </w:tc>
      </w:tr>
    </w:tbl>
    <w:tbl>
      <w:tblPr>
        <w:tblW w:type="dxa" w:w="9360"/>
        <w:tblBorders>
          <w:top w:val="none" w:color="FFFFFF" w:sz="0"/>
          <w:left w:val="none" w:color="FFFFFF" w:sz="0"/>
          <w:bottom w:val="none" w:color="FFFFFF" w:sz="0"/>
          <w:right w:val="none" w:color="FFFFFF" w:sz="0"/>
          <w:insideH w:val="none" w:color="FFFFFF" w:sz="0"/>
          <w:insideV w:val="none" w:color="FFFFFF" w:sz="0"/>
        </w:tblBorders>
      </w:tblPr>
      <w:tblGrid>
        <w:gridCol w:w="9360"/>
      </w:tblGrid>
      <w:tr>
        <w:trPr>
          <w:cantSplit/>
        </w:trPr>
        <w:tc>
          <w:tcPr>
            <w:tcW w:type="dxa" w:w="9360"/>
            <w:tcBorders>
              <w:top w:val="single" w:color="B9CDC1" w:sz="4"/>
              <w:left w:val="single" w:color="B9CDC1" w:sz="4"/>
              <w:bottom w:val="single" w:color="B9CDC1" w:sz="4"/>
              <w:right w:val="single" w:color="B9CDC1" w:sz="4"/>
            </w:tcBorders>
            <w:tcMar>
              <w:top w:type="dxa" w:w="40"/>
              <w:left w:type="dxa" w:w="100"/>
              <w:bottom w:type="dxa" w:w="50"/>
              <w:right w:type="dxa" w:w="100"/>
            </w:tcMar>
          </w:tcPr>
          <w:p>
            <w:pPr>
              <w:spacing w:after="20"/>
            </w:pPr>
            <w:r>
              <w:rPr>
                <w:rFonts w:ascii="Arial" w:cs="Arial" w:eastAsia="Arial" w:hAnsi="Arial"/>
                <w:b/>
                <w:bCs/>
                <w:color w:val="0F7A55"/>
                <w:spacing w:val="20"/>
                <w:sz w:val="13"/>
                <w:szCs w:val="13"/>
              </w:rPr>
              <w:t xml:space="preserve">RENTAL ADDRESS(ES)</w:t>
            </w:r>
          </w:p>
          <w:p>
            <w:pPr>
              <w:spacing w:after="0"/>
            </w:pPr>
            <w:r>
              <w:rPr>
                <w:rFonts w:ascii="Arial" w:cs="Arial" w:eastAsia="Arial" w:hAnsi="Arial"/>
                <w:color w:val="0F7A55"/>
                <w:sz w:val="20"/>
                <w:szCs w:val="20"/>
              </w:rPr>
              <w:t xml:space="preserve">[Rental address(es)]</w:t>
            </w:r>
          </w:p>
        </w:tc>
      </w:tr>
    </w:tbl>
    <w:p>
      <w:pPr>
        <w:spacing w:after="60"/>
      </w:pPr>
    </w:p>
    <w:p>
      <w:pPr>
        <w:keepNext/>
        <w:pBdr>
          <w:bottom w:val="single" w:color="D5E2DA" w:sz="4" w:space="3"/>
        </w:pBdr>
        <w:spacing w:after="100" w:before="180"/>
      </w:pPr>
      <w:r>
        <w:rPr>
          <w:rFonts w:ascii="Arial" w:cs="Arial" w:eastAsia="Arial" w:hAnsi="Arial"/>
          <w:b/>
          <w:bCs/>
          <w:color w:val="0F7A55"/>
          <w:spacing w:val="20"/>
          <w:sz w:val="15"/>
          <w:szCs w:val="15"/>
        </w:rPr>
        <w:t xml:space="preserve">1. PEOPLE AND COMPANIES YOU PAID FOR WORK ON YOUR RENTALS</w:t>
      </w:r>
    </w:p>
    <w:p>
      <w:pPr>
        <w:spacing w:after="120" w:line="276"/>
      </w:pPr>
      <w:r>
        <w:rPr>
          <w:rFonts w:ascii="Arial" w:cs="Arial" w:eastAsia="Arial" w:hAnsi="Arial"/>
          <w:color w:val="1A1A1A"/>
          <w:sz w:val="18"/>
          <w:szCs w:val="18"/>
        </w:rPr>
        <w:t xml:space="preserve">List every contractor. Count only payments by cash, check or bank transfer (ACH). Card and payment app payments are reported by the card or app company instead. Parts and materials count when they came with the service.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424"/>
        <w:gridCol w:w="1027"/>
        <w:gridCol w:w="684"/>
        <w:gridCol w:w="2168"/>
        <w:gridCol w:w="1027"/>
        <w:gridCol w:w="1030"/>
      </w:tblGrid>
      <w:tr>
        <w:trPr>
          <w:tblHeader/>
        </w:trPr>
        <w:tc>
          <w:tcPr>
            <w:tcW w:type="dxa" w:w="3424"/>
            <w:tcBorders>
              <w:top w:val="single" w:color="D5E2DA" w:sz="4"/>
              <w:left w:val="single" w:color="D5E2DA" w:sz="4"/>
              <w:bottom w:val="single" w:color="D5E2DA" w:sz="4"/>
              <w:right w:val="single" w:color="D5E2DA" w:sz="4"/>
            </w:tcBorders>
            <w:shd w:fill="16362E" w:color="auto" w:val="clear"/>
            <w:tcMar>
              <w:top w:type="dxa" w:w="60"/>
              <w:left w:type="dxa" w:w="90"/>
              <w:bottom w:type="dxa" w:w="60"/>
              <w:right w:type="dxa" w:w="90"/>
            </w:tcMar>
          </w:tcPr>
          <w:p>
            <w:pPr>
              <w:spacing w:after="0"/>
              <w:jc w:val="left"/>
            </w:pPr>
            <w:r>
              <w:rPr>
                <w:rFonts w:ascii="Arial" w:cs="Arial" w:eastAsia="Arial" w:hAnsi="Arial"/>
                <w:b/>
                <w:bCs/>
                <w:color w:val="FFFFFF"/>
                <w:sz w:val="16"/>
                <w:szCs w:val="16"/>
              </w:rPr>
              <w:t xml:space="preserve">Contractor or company</w:t>
            </w:r>
          </w:p>
        </w:tc>
        <w:tc>
          <w:tcPr>
            <w:tcW w:type="dxa" w:w="1027"/>
            <w:tcBorders>
              <w:top w:val="single" w:color="D5E2DA" w:sz="4"/>
              <w:left w:val="single" w:color="D5E2DA" w:sz="4"/>
              <w:bottom w:val="single" w:color="D5E2DA" w:sz="4"/>
              <w:right w:val="single" w:color="D5E2DA" w:sz="4"/>
            </w:tcBorders>
            <w:shd w:fill="16362E" w:color="auto" w:val="clear"/>
            <w:tcMar>
              <w:top w:type="dxa" w:w="60"/>
              <w:left w:type="dxa" w:w="90"/>
              <w:bottom w:type="dxa" w:w="60"/>
              <w:right w:type="dxa" w:w="90"/>
            </w:tcMar>
          </w:tcPr>
          <w:p>
            <w:pPr>
              <w:spacing w:after="0"/>
              <w:jc w:val="left"/>
            </w:pPr>
            <w:r>
              <w:rPr>
                <w:rFonts w:ascii="Arial" w:cs="Arial" w:eastAsia="Arial" w:hAnsi="Arial"/>
                <w:b/>
                <w:bCs/>
                <w:color w:val="FFFFFF"/>
                <w:sz w:val="16"/>
                <w:szCs w:val="16"/>
              </w:rPr>
              <w:t xml:space="preserve">Type</w:t>
            </w:r>
          </w:p>
        </w:tc>
        <w:tc>
          <w:tcPr>
            <w:tcW w:type="dxa" w:w="684"/>
            <w:tcBorders>
              <w:top w:val="single" w:color="D5E2DA" w:sz="4"/>
              <w:left w:val="single" w:color="D5E2DA" w:sz="4"/>
              <w:bottom w:val="single" w:color="D5E2DA" w:sz="4"/>
              <w:right w:val="single" w:color="D5E2DA" w:sz="4"/>
            </w:tcBorders>
            <w:shd w:fill="16362E" w:color="auto" w:val="clear"/>
            <w:tcMar>
              <w:top w:type="dxa" w:w="60"/>
              <w:left w:type="dxa" w:w="90"/>
              <w:bottom w:type="dxa" w:w="60"/>
              <w:right w:type="dxa" w:w="90"/>
            </w:tcMar>
          </w:tcPr>
          <w:p>
            <w:pPr>
              <w:spacing w:after="0"/>
              <w:jc w:val="center"/>
            </w:pPr>
            <w:r>
              <w:rPr>
                <w:rFonts w:ascii="Arial" w:cs="Arial" w:eastAsia="Arial" w:hAnsi="Arial"/>
                <w:b/>
                <w:bCs/>
                <w:color w:val="FFFFFF"/>
                <w:sz w:val="16"/>
                <w:szCs w:val="16"/>
              </w:rPr>
              <w:t xml:space="preserve">W-9</w:t>
            </w:r>
          </w:p>
        </w:tc>
        <w:tc>
          <w:tcPr>
            <w:tcW w:type="dxa" w:w="2168"/>
            <w:tcBorders>
              <w:top w:val="single" w:color="D5E2DA" w:sz="4"/>
              <w:left w:val="single" w:color="D5E2DA" w:sz="4"/>
              <w:bottom w:val="single" w:color="D5E2DA" w:sz="4"/>
              <w:right w:val="single" w:color="D5E2DA" w:sz="4"/>
            </w:tcBorders>
            <w:shd w:fill="16362E" w:color="auto" w:val="clear"/>
            <w:tcMar>
              <w:top w:type="dxa" w:w="60"/>
              <w:left w:type="dxa" w:w="90"/>
              <w:bottom w:type="dxa" w:w="60"/>
              <w:right w:type="dxa" w:w="90"/>
            </w:tcMar>
          </w:tcPr>
          <w:p>
            <w:pPr>
              <w:spacing w:after="0"/>
              <w:jc w:val="left"/>
            </w:pPr>
            <w:r>
              <w:rPr>
                <w:rFonts w:ascii="Arial" w:cs="Arial" w:eastAsia="Arial" w:hAnsi="Arial"/>
                <w:b/>
                <w:bCs/>
                <w:color w:val="FFFFFF"/>
                <w:sz w:val="16"/>
                <w:szCs w:val="16"/>
              </w:rPr>
              <w:t xml:space="preserve">Paid by cash, check, ACH ($)</w:t>
            </w:r>
          </w:p>
        </w:tc>
        <w:tc>
          <w:tcPr>
            <w:tcW w:type="dxa" w:w="1027"/>
            <w:tcBorders>
              <w:top w:val="single" w:color="D5E2DA" w:sz="4"/>
              <w:left w:val="single" w:color="D5E2DA" w:sz="4"/>
              <w:bottom w:val="single" w:color="D5E2DA" w:sz="4"/>
              <w:right w:val="single" w:color="D5E2DA" w:sz="4"/>
            </w:tcBorders>
            <w:shd w:fill="16362E" w:color="auto" w:val="clear"/>
            <w:tcMar>
              <w:top w:type="dxa" w:w="60"/>
              <w:left w:type="dxa" w:w="90"/>
              <w:bottom w:type="dxa" w:w="60"/>
              <w:right w:type="dxa" w:w="90"/>
            </w:tcMar>
          </w:tcPr>
          <w:p>
            <w:pPr>
              <w:spacing w:after="0"/>
              <w:jc w:val="center"/>
            </w:pPr>
            <w:r>
              <w:rPr>
                <w:rFonts w:ascii="Arial" w:cs="Arial" w:eastAsia="Arial" w:hAnsi="Arial"/>
                <w:b/>
                <w:bCs/>
                <w:color w:val="FFFFFF"/>
                <w:sz w:val="16"/>
                <w:szCs w:val="16"/>
              </w:rPr>
              <w:t xml:space="preserve">$2,000+?</w:t>
            </w:r>
          </w:p>
        </w:tc>
        <w:tc>
          <w:tcPr>
            <w:tcW w:type="dxa" w:w="1030"/>
            <w:tcBorders>
              <w:top w:val="single" w:color="D5E2DA" w:sz="4"/>
              <w:left w:val="single" w:color="D5E2DA" w:sz="4"/>
              <w:bottom w:val="single" w:color="D5E2DA" w:sz="4"/>
              <w:right w:val="single" w:color="D5E2DA" w:sz="4"/>
            </w:tcBorders>
            <w:shd w:fill="16362E" w:color="auto" w:val="clear"/>
            <w:tcMar>
              <w:top w:type="dxa" w:w="60"/>
              <w:left w:type="dxa" w:w="90"/>
              <w:bottom w:type="dxa" w:w="60"/>
              <w:right w:type="dxa" w:w="90"/>
            </w:tcMar>
          </w:tcPr>
          <w:p>
            <w:pPr>
              <w:spacing w:after="0"/>
              <w:jc w:val="center"/>
            </w:pPr>
            <w:r>
              <w:rPr>
                <w:rFonts w:ascii="Arial" w:cs="Arial" w:eastAsia="Arial" w:hAnsi="Arial"/>
                <w:b/>
                <w:bCs/>
                <w:color w:val="FFFFFF"/>
                <w:sz w:val="16"/>
                <w:szCs w:val="16"/>
              </w:rPr>
              <w:t xml:space="preserve">1099 sent</w:t>
            </w:r>
          </w:p>
        </w:tc>
      </w:tr>
      <w:tr>
        <w:trPr>
          <w:cantSplit/>
          <w:trHeight w:val="330" w:hRule="atLeast"/>
        </w:trPr>
        <w:tc>
          <w:tcPr>
            <w:tcW w:type="dxa" w:w="3424"/>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1027"/>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684"/>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c>
          <w:tcPr>
            <w:tcW w:type="dxa" w:w="2168"/>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1027"/>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c>
          <w:tcPr>
            <w:tcW w:type="dxa" w:w="1030"/>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r>
      <w:tr>
        <w:trPr>
          <w:cantSplit/>
          <w:trHeight w:val="330" w:hRule="atLeast"/>
        </w:trPr>
        <w:tc>
          <w:tcPr>
            <w:tcW w:type="dxa" w:w="3424"/>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1027"/>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684"/>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c>
          <w:tcPr>
            <w:tcW w:type="dxa" w:w="2168"/>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1027"/>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c>
          <w:tcPr>
            <w:tcW w:type="dxa" w:w="1030"/>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r>
      <w:tr>
        <w:trPr>
          <w:cantSplit/>
          <w:trHeight w:val="330" w:hRule="atLeast"/>
        </w:trPr>
        <w:tc>
          <w:tcPr>
            <w:tcW w:type="dxa" w:w="3424"/>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1027"/>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684"/>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c>
          <w:tcPr>
            <w:tcW w:type="dxa" w:w="2168"/>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1027"/>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c>
          <w:tcPr>
            <w:tcW w:type="dxa" w:w="1030"/>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r>
      <w:tr>
        <w:trPr>
          <w:cantSplit/>
          <w:trHeight w:val="330" w:hRule="atLeast"/>
        </w:trPr>
        <w:tc>
          <w:tcPr>
            <w:tcW w:type="dxa" w:w="3424"/>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1027"/>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684"/>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c>
          <w:tcPr>
            <w:tcW w:type="dxa" w:w="2168"/>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1027"/>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c>
          <w:tcPr>
            <w:tcW w:type="dxa" w:w="1030"/>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r>
      <w:tr>
        <w:trPr>
          <w:cantSplit/>
          <w:trHeight w:val="330" w:hRule="atLeast"/>
        </w:trPr>
        <w:tc>
          <w:tcPr>
            <w:tcW w:type="dxa" w:w="3424"/>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1027"/>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684"/>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c>
          <w:tcPr>
            <w:tcW w:type="dxa" w:w="2168"/>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1027"/>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c>
          <w:tcPr>
            <w:tcW w:type="dxa" w:w="1030"/>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r>
      <w:tr>
        <w:trPr>
          <w:cantSplit/>
          <w:trHeight w:val="330" w:hRule="atLeast"/>
        </w:trPr>
        <w:tc>
          <w:tcPr>
            <w:tcW w:type="dxa" w:w="3424"/>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1027"/>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684"/>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c>
          <w:tcPr>
            <w:tcW w:type="dxa" w:w="2168"/>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1027"/>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c>
          <w:tcPr>
            <w:tcW w:type="dxa" w:w="1030"/>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r>
      <w:tr>
        <w:trPr>
          <w:cantSplit/>
          <w:trHeight w:val="330" w:hRule="atLeast"/>
        </w:trPr>
        <w:tc>
          <w:tcPr>
            <w:tcW w:type="dxa" w:w="3424"/>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1027"/>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684"/>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c>
          <w:tcPr>
            <w:tcW w:type="dxa" w:w="2168"/>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1027"/>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c>
          <w:tcPr>
            <w:tcW w:type="dxa" w:w="1030"/>
            <w:tcBorders>
              <w:top w:val="single" w:color="D5E2DA" w:sz="4"/>
              <w:left w:val="single" w:color="D5E2DA" w:sz="4"/>
              <w:bottom w:val="single" w:color="D5E2DA" w:sz="4"/>
              <w:right w:val="single" w:color="D5E2DA" w:sz="4"/>
            </w:tcBorders>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r>
      <w:tr>
        <w:trPr>
          <w:cantSplit/>
          <w:trHeight w:val="330" w:hRule="atLeast"/>
        </w:trPr>
        <w:tc>
          <w:tcPr>
            <w:tcW w:type="dxa" w:w="3424"/>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1027"/>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684"/>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c>
          <w:tcPr>
            <w:tcW w:type="dxa" w:w="2168"/>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left"/>
            </w:pPr>
            <w:r>
              <w:rPr>
                <w:rFonts w:ascii="Arial" w:cs="Arial" w:eastAsia="Arial" w:hAnsi="Arial"/>
                <w:color w:val="1A1A1A"/>
                <w:sz w:val="17"/>
                <w:szCs w:val="17"/>
              </w:rPr>
              <w:t xml:space="preserve"/>
            </w:r>
          </w:p>
        </w:tc>
        <w:tc>
          <w:tcPr>
            <w:tcW w:type="dxa" w:w="1027"/>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c>
          <w:tcPr>
            <w:tcW w:type="dxa" w:w="1030"/>
            <w:tcBorders>
              <w:top w:val="single" w:color="D5E2DA" w:sz="4"/>
              <w:left w:val="single" w:color="D5E2DA" w:sz="4"/>
              <w:bottom w:val="single" w:color="D5E2DA" w:sz="4"/>
              <w:right w:val="single" w:color="D5E2DA" w:sz="4"/>
            </w:tcBorders>
            <w:shd w:fill="F3F8F5" w:color="auto" w:val="clear"/>
            <w:tcMar>
              <w:top w:type="dxa" w:w="15"/>
              <w:left w:type="dxa" w:w="90"/>
              <w:bottom w:type="dxa" w:w="15"/>
              <w:right w:type="dxa" w:w="90"/>
            </w:tcMar>
            <w:vAlign w:val="center"/>
          </w:tcPr>
          <w:p>
            <w:pPr>
              <w:spacing w:after="0" w:line="240"/>
              <w:jc w:val="center"/>
            </w:pPr>
            <w:r>
              <w:rPr>
                <w:rFonts w:ascii="Arial" w:cs="Arial" w:eastAsia="Arial" w:hAnsi="Arial"/>
                <w:color w:val="16362E"/>
                <w:sz w:val="20"/>
                <w:szCs w:val="20"/>
              </w:rPr>
              <w:t xml:space="preserve">☐</w:t>
            </w:r>
          </w:p>
        </w:tc>
      </w:tr>
    </w:tbl>
    <w:p>
      <w:pPr>
        <w:spacing w:after="100"/>
      </w:pPr>
    </w:p>
    <w:p>
      <w:pPr>
        <w:spacing w:after="120" w:line="276"/>
      </w:pPr>
      <w:r>
        <w:rPr>
          <w:rFonts w:ascii="Arial" w:cs="Arial" w:eastAsia="Arial" w:hAnsi="Arial"/>
          <w:color w:val="1A1A1A"/>
          <w:sz w:val="18"/>
          <w:szCs w:val="18"/>
        </w:rPr>
        <w:t xml:space="preserve">Type: Ind (individual or sole proprietor), LLC, Part (partnership) or Corp. Most payments to corporations need no 1099, but payments to attorneys do. Threshold for payments made in 2026: $2,000 or more to one payee in the year.</w:t>
      </w:r>
    </w:p>
    <w:p>
      <w:pPr>
        <w:keepNext/>
        <w:pBdr>
          <w:bottom w:val="single" w:color="D5E2DA" w:sz="4" w:space="3"/>
        </w:pBdr>
        <w:spacing w:after="100" w:before="180"/>
      </w:pPr>
      <w:r>
        <w:rPr>
          <w:rFonts w:ascii="Arial" w:cs="Arial" w:eastAsia="Arial" w:hAnsi="Arial"/>
          <w:b/>
          <w:bCs/>
          <w:color w:val="0F7A55"/>
          <w:spacing w:val="20"/>
          <w:sz w:val="15"/>
          <w:szCs w:val="15"/>
        </w:rPr>
        <w:t xml:space="preserve">2. STEPS AND DATES</w:t>
      </w:r>
    </w:p>
    <w:p>
      <w:pPr>
        <w:spacing w:after="60"/>
      </w:pPr>
      <w:r>
        <w:rPr>
          <w:rFonts w:ascii="Arial" w:cs="Arial" w:eastAsia="Arial" w:hAnsi="Arial"/>
          <w:color w:val="16362E"/>
          <w:sz w:val="20"/>
          <w:szCs w:val="20"/>
        </w:rPr>
        <w:t xml:space="preserve">☐ </w:t>
      </w:r>
      <w:r>
        <w:rPr>
          <w:rFonts w:ascii="Arial" w:cs="Arial" w:eastAsia="Arial" w:hAnsi="Arial"/>
          <w:color w:val="1A1A1A"/>
          <w:sz w:val="20"/>
          <w:szCs w:val="20"/>
        </w:rPr>
        <w:t xml:space="preserve">Before you pay anyone new, ask for a Form W-9 (name, address and taxpayer ID number).</w:t>
      </w:r>
    </w:p>
    <w:p>
      <w:pPr>
        <w:spacing w:after="60"/>
      </w:pPr>
      <w:r>
        <w:rPr>
          <w:rFonts w:ascii="Arial" w:cs="Arial" w:eastAsia="Arial" w:hAnsi="Arial"/>
          <w:color w:val="16362E"/>
          <w:sz w:val="20"/>
          <w:szCs w:val="20"/>
        </w:rPr>
        <w:t xml:space="preserve">☐ </w:t>
      </w:r>
      <w:r>
        <w:rPr>
          <w:rFonts w:ascii="Arial" w:cs="Arial" w:eastAsia="Arial" w:hAnsi="Arial"/>
          <w:color w:val="1A1A1A"/>
          <w:sz w:val="20"/>
          <w:szCs w:val="20"/>
        </w:rPr>
        <w:t xml:space="preserve">In December, total each contractor's 2026 payments from your expense records.</w:t>
      </w:r>
    </w:p>
    <w:p>
      <w:pPr>
        <w:spacing w:after="60"/>
      </w:pPr>
      <w:r>
        <w:rPr>
          <w:rFonts w:ascii="Arial" w:cs="Arial" w:eastAsia="Arial" w:hAnsi="Arial"/>
          <w:color w:val="16362E"/>
          <w:sz w:val="20"/>
          <w:szCs w:val="20"/>
        </w:rPr>
        <w:t xml:space="preserve">☐ </w:t>
      </w:r>
      <w:r>
        <w:rPr>
          <w:rFonts w:ascii="Arial" w:cs="Arial" w:eastAsia="Arial" w:hAnsi="Arial"/>
          <w:color w:val="1A1A1A"/>
          <w:sz w:val="20"/>
          <w:szCs w:val="20"/>
        </w:rPr>
        <w:t xml:space="preserve">To e-file for free with the IRS IRIS portal, apply for an IRIS access code (TCC) early. It is not instant.</w:t>
      </w:r>
    </w:p>
    <w:p>
      <w:pPr>
        <w:spacing w:after="60"/>
      </w:pPr>
      <w:r>
        <w:rPr>
          <w:rFonts w:ascii="Arial" w:cs="Arial" w:eastAsia="Arial" w:hAnsi="Arial"/>
          <w:color w:val="16362E"/>
          <w:sz w:val="20"/>
          <w:szCs w:val="20"/>
        </w:rPr>
        <w:t xml:space="preserve">☐ </w:t>
      </w:r>
      <w:r>
        <w:rPr>
          <w:rFonts w:ascii="Arial" w:cs="Arial" w:eastAsia="Arial" w:hAnsi="Arial"/>
          <w:color w:val="1A1A1A"/>
          <w:sz w:val="20"/>
          <w:szCs w:val="20"/>
        </w:rPr>
        <w:t xml:space="preserve">By February 1, 2027: give each contractor a Form 1099-NEC and file it with the IRS.</w:t>
      </w:r>
    </w:p>
    <w:p>
      <w:pPr>
        <w:spacing w:after="60"/>
      </w:pPr>
      <w:r>
        <w:rPr>
          <w:rFonts w:ascii="Arial" w:cs="Arial" w:eastAsia="Arial" w:hAnsi="Arial"/>
          <w:color w:val="16362E"/>
          <w:sz w:val="20"/>
          <w:szCs w:val="20"/>
        </w:rPr>
        <w:t xml:space="preserve">☐ </w:t>
      </w:r>
      <w:r>
        <w:rPr>
          <w:rFonts w:ascii="Arial" w:cs="Arial" w:eastAsia="Arial" w:hAnsi="Arial"/>
          <w:color w:val="1A1A1A"/>
          <w:sz w:val="20"/>
          <w:szCs w:val="20"/>
        </w:rPr>
        <w:t xml:space="preserve">Paid $2,000+ in rent to a person (for example for storage or a garage)? Give them a 1099-MISC by February 1, 2027, and file it with the IRS by March 1, 2027 on paper or March 31, 2027 electronically.</w:t>
      </w:r>
    </w:p>
    <w:p>
      <w:pPr>
        <w:spacing w:after="60"/>
      </w:pPr>
      <w:r>
        <w:rPr>
          <w:rFonts w:ascii="Arial" w:cs="Arial" w:eastAsia="Arial" w:hAnsi="Arial"/>
          <w:color w:val="16362E"/>
          <w:sz w:val="20"/>
          <w:szCs w:val="20"/>
        </w:rPr>
        <w:t xml:space="preserve">☐ </w:t>
      </w:r>
      <w:r>
        <w:rPr>
          <w:rFonts w:ascii="Arial" w:cs="Arial" w:eastAsia="Arial" w:hAnsi="Arial"/>
          <w:color w:val="1A1A1A"/>
          <w:sz w:val="20"/>
          <w:szCs w:val="20"/>
        </w:rPr>
        <w:t xml:space="preserve">Keep a copy of every 1099 and W-9 with that year's tax records.</w:t>
      </w:r>
    </w:p>
    <w:p>
      <w:pPr>
        <w:keepNext/>
        <w:pBdr>
          <w:bottom w:val="single" w:color="D5E2DA" w:sz="4" w:space="3"/>
        </w:pBdr>
        <w:spacing w:after="100" w:before="180"/>
      </w:pPr>
      <w:r>
        <w:rPr>
          <w:rFonts w:ascii="Arial" w:cs="Arial" w:eastAsia="Arial" w:hAnsi="Arial"/>
          <w:b/>
          <w:bCs/>
          <w:color w:val="0F7A55"/>
          <w:spacing w:val="20"/>
          <w:sz w:val="15"/>
          <w:szCs w:val="15"/>
        </w:rPr>
        <w:t xml:space="preserve">3. FORMS YOU MAY RECEIVE AS A LANDLORD</w:t>
      </w:r>
    </w:p>
    <w:p>
      <w:pPr>
        <w:spacing w:after="120" w:line="276"/>
      </w:pPr>
      <w:r>
        <w:rPr>
          <w:rFonts w:ascii="Arial" w:cs="Arial" w:eastAsia="Arial" w:hAnsi="Arial"/>
          <w:color w:val="1A1A1A"/>
          <w:sz w:val="18"/>
          <w:szCs w:val="18"/>
        </w:rPr>
        <w:t xml:space="preserve">1099-MISC from a business tenant that paid you $2,000+ in rent in 2026, or from a property manager for rent it collected for you. 1099-K from a card processor or payment app only if it paid you over $20,000 and over 200 transactions in the year. Report all rent you receive on Schedule E, whether or not you get a 1099 for it.</w:t>
      </w:r>
    </w:p>
    <w:p>
      <w:pPr>
        <w:sectPr>
          <w:footerReference w:type="default" r:id="rId6"/>
          <w:pgSz w:w="12240" w:h="15840" w:orient="portrait"/>
          <w:pgMar w:top="900" w:right="1440" w:bottom="900" w:left="1440" w:header="708" w:footer="450" w:gutter="0"/>
          <w:pgNumType/>
          <w:docGrid w:linePitch="360"/>
        </w:sectPr>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none" w:color="FFFFFF" w:sz="0"/>
              <w:left w:val="none" w:color="FFFFFF" w:sz="0"/>
              <w:bottom w:val="none" w:color="FFFFFF" w:sz="0"/>
              <w:right w:val="none" w:color="FFFFFF" w:sz="0"/>
            </w:tcBorders>
            <w:shd w:fill="16362E" w:color="auto" w:val="clear"/>
            <w:tcMar>
              <w:top w:type="dxa" w:w="120"/>
              <w:left w:type="dxa" w:w="200"/>
              <w:bottom w:type="dxa" w:w="80"/>
              <w:right w:type="dxa" w:w="160"/>
            </w:tcMar>
          </w:tcPr>
          <w:p>
            <w:pPr>
              <w:spacing w:after="40"/>
            </w:pPr>
            <w:r>
              <w:rPr>
                <w:rFonts w:ascii="Arial" w:cs="Arial" w:eastAsia="Arial" w:hAnsi="Arial"/>
                <w:b/>
                <w:bCs/>
                <w:color w:val="FFFFFF"/>
                <w:sz w:val="34"/>
                <w:szCs w:val="34"/>
              </w:rPr>
              <w:t xml:space="preserve">Instructions for the landlord</w:t>
            </w:r>
          </w:p>
          <w:p>
            <w:pPr>
              <w:spacing w:after="60"/>
            </w:pPr>
            <w:r>
              <w:rPr>
                <w:rFonts w:ascii="Arial" w:cs="Arial" w:eastAsia="Arial" w:hAnsi="Arial"/>
                <w:color w:val="FFFFFF"/>
                <w:sz w:val="18"/>
                <w:szCs w:val="18"/>
              </w:rPr>
              <w:t xml:space="preserve">Keep this page. Do not send it to the tenant.</w:t>
            </w:r>
          </w:p>
        </w:tc>
      </w:tr>
    </w:tbl>
    <w:p>
      <w:pPr>
        <w:spacing w:after="80"/>
      </w:pPr>
    </w:p>
    <w:p>
      <w:pPr>
        <w:keepNext/>
        <w:spacing w:after="80" w:before="200"/>
      </w:pPr>
      <w:r>
        <w:rPr>
          <w:rFonts w:ascii="Arial" w:cs="Arial" w:eastAsia="Arial" w:hAnsi="Arial"/>
          <w:b/>
          <w:bCs/>
          <w:color w:val="0F7A55"/>
          <w:spacing w:val="20"/>
          <w:sz w:val="15"/>
          <w:szCs w:val="15"/>
        </w:rPr>
        <w:t xml:space="preserve">IS A SMALL RENTAL A BUSINESS?</w:t>
      </w:r>
    </w:p>
    <w:p>
      <w:pPr>
        <w:spacing w:after="100" w:line="276"/>
      </w:pPr>
      <w:r>
        <w:rPr>
          <w:rFonts w:ascii="Arial" w:cs="Arial" w:eastAsia="Arial" w:hAnsi="Arial"/>
          <w:color w:val="1A1A1A"/>
          <w:sz w:val="20"/>
          <w:szCs w:val="20"/>
        </w:rPr>
        <w:t xml:space="preserve">1099s are required for payments made in the course of a trade or business. Whether a small rental counts as one depends on your facts. Ask a tax professional if you are not sure.</w:t>
      </w:r>
    </w:p>
    <w:p>
      <w:pPr>
        <w:keepNext/>
        <w:spacing w:after="80" w:before="200"/>
      </w:pPr>
      <w:r>
        <w:rPr>
          <w:rFonts w:ascii="Arial" w:cs="Arial" w:eastAsia="Arial" w:hAnsi="Arial"/>
          <w:b/>
          <w:bCs/>
          <w:color w:val="0F7A55"/>
          <w:spacing w:val="20"/>
          <w:sz w:val="15"/>
          <w:szCs w:val="15"/>
        </w:rPr>
        <w:t xml:space="preserve">DATES</w:t>
      </w:r>
    </w:p>
    <w:p>
      <w:pPr>
        <w:spacing w:after="100" w:line="276"/>
      </w:pPr>
      <w:r>
        <w:rPr>
          <w:rFonts w:ascii="Arial" w:cs="Arial" w:eastAsia="Arial" w:hAnsi="Arial"/>
          <w:color w:val="1A1A1A"/>
          <w:sz w:val="20"/>
          <w:szCs w:val="20"/>
        </w:rPr>
        <w:t xml:space="preserve">Due dates that fall on a weekend or legal holiday move to the next business day.</w:t>
      </w:r>
    </w:p>
    <w:p>
      <w:pPr>
        <w:keepNext/>
        <w:spacing w:after="80" w:before="200"/>
      </w:pPr>
      <w:r>
        <w:rPr>
          <w:rFonts w:ascii="Arial" w:cs="Arial" w:eastAsia="Arial" w:hAnsi="Arial"/>
          <w:b/>
          <w:bCs/>
          <w:color w:val="0F7A55"/>
          <w:spacing w:val="20"/>
          <w:sz w:val="15"/>
          <w:szCs w:val="15"/>
        </w:rPr>
        <w:t xml:space="preserve">SOURCE</w:t>
      </w:r>
    </w:p>
    <w:p>
      <w:pPr>
        <w:spacing w:after="100" w:line="276"/>
      </w:pPr>
      <w:r>
        <w:rPr>
          <w:rFonts w:ascii="Arial" w:cs="Arial" w:eastAsia="Arial" w:hAnsi="Arial"/>
          <w:color w:val="1A1A1A"/>
          <w:sz w:val="20"/>
          <w:szCs w:val="20"/>
        </w:rPr>
        <w:t xml:space="preserve">IRS Instructions for Forms 1099-MISC and 1099-NEC.</w:t>
      </w:r>
    </w:p>
    <w:p>
      <w:pPr>
        <w:keepNext/>
        <w:spacing w:after="80" w:before="200"/>
      </w:pPr>
      <w:r>
        <w:rPr>
          <w:rFonts w:ascii="Arial" w:cs="Arial" w:eastAsia="Arial" w:hAnsi="Arial"/>
          <w:b/>
          <w:bCs/>
          <w:color w:val="0F7A55"/>
          <w:spacing w:val="20"/>
          <w:sz w:val="15"/>
          <w:szCs w:val="15"/>
        </w:rPr>
        <w:t xml:space="preserve">FREE GUIDE</w:t>
      </w:r>
    </w:p>
    <w:p>
      <w:pPr>
        <w:spacing w:after="100" w:line="276"/>
      </w:pPr>
      <w:r>
        <w:rPr>
          <w:rFonts w:ascii="Arial" w:cs="Arial" w:eastAsia="Arial" w:hAnsi="Arial"/>
          <w:color w:val="1A1A1A"/>
          <w:sz w:val="20"/>
          <w:szCs w:val="20"/>
        </w:rPr>
        <w:t xml:space="preserve">simplerentledger.com/1099-for-landlords/</w:t>
      </w:r>
    </w:p>
    <w:sectPr>
      <w:footerReference w:type="default" r:id="rId7"/>
      <w:pgSz w:w="12240" w:h="15840" w:orient="portrait"/>
      <w:pgMar w:top="900" w:right="1440" w:bottom="900" w:left="1440" w:header="708" w:footer="450"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Arial" w:cs="Arial" w:eastAsia="Arial" w:hAnsi="Arial"/>
        <w:color w:val="16362E"/>
        <w:sz w:val="15"/>
        <w:szCs w:val="15"/>
      </w:rPr>
      <w:t xml:space="preserve">Free template from simplerentledger.com</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Arial" w:cs="Arial" w:eastAsia="Arial" w:hAnsi="Arial"/>
        <w:color w:val="16362E"/>
        <w:sz w:val="15"/>
        <w:szCs w:val="15"/>
      </w:rPr>
      <w:t xml:space="preserve">Free template from simplerentledger.com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abstractNum w:abstractNumId="2" w15:restartNumberingAfterBreak="0">
    <w:multiLevelType w:val="hybridMultilevel"/>
    <w:lvl w:ilvl="0" w:tentative="1">
      <w:start w:val="1"/>
      <w:numFmt w:val="bullet"/>
      <w:lvlText w:val="•"/>
      <w:lvlJc w:val="left"/>
      <w:pPr>
        <w:ind w:left="360" w:hanging="240"/>
      </w:pPr>
      <w:rPr>
        <w:color w:val="0F7A55"/>
      </w:r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color w:val="1A1A1A"/>
        <w:sz w:val="20"/>
        <w:szCs w:val="20"/>
      </w:rPr>
    </w:rPrDefault>
    <w:pPrDefault/>
  </w:docDefaults>
  <w:style w:type="paragraph" w:styleId="Normal" w:default="1">
    <w:name w:val="Normal"/>
    <w:qFormat/>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theme" Target="theme/theme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er2.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Landlord 1099 Checklist</dc:title>
  <dc:creator>Simple Rent Ledger</dc:creator>
  <dc:description>For payments made in 2026 (forms filed in early 2027)</dc:description>
  <cp:lastModifiedBy>Un-named</cp:lastModifiedBy>
  <cp:revision>1</cp:revision>
  <dcterms:created xsi:type="dcterms:W3CDTF">2026-11-07T23:25:12.105Z</dcterms:created>
  <dcterms:modified xsi:type="dcterms:W3CDTF">2026-11-07T23:25:12.105Z</dcterms:modified>
</cp:coreProperties>
</file>

<file path=docProps/custom.xml><?xml version="1.0" encoding="utf-8"?>
<Properties xmlns="http://schemas.openxmlformats.org/officeDocument/2006/custom-properties" xmlns:vt="http://schemas.openxmlformats.org/officeDocument/2006/docPropsVTypes"/>
</file>